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5F5C45"/>
    <w:p w14:paraId="11893BB0"/>
    <w:p w14:paraId="2813568F">
      <w:pPr>
        <w:widowControl/>
        <w:wordWrap w:val="0"/>
        <w:jc w:val="center"/>
        <w:rPr>
          <w:rFonts w:ascii="方正小标宋简体" w:hAnsi="方正小标宋简体" w:eastAsia="方正小标宋简体" w:cs="方正小标宋简体"/>
          <w:kern w:val="0"/>
          <w:sz w:val="36"/>
          <w:szCs w:val="36"/>
          <w:lang w:bidi="ar"/>
        </w:rPr>
      </w:pPr>
      <w:r>
        <w:rPr>
          <w:rFonts w:hint="eastAsia" w:ascii="方正小标宋简体" w:hAnsi="方正小标宋简体" w:eastAsia="方正小标宋简体" w:cs="方正小标宋简体"/>
          <w:kern w:val="0"/>
          <w:sz w:val="36"/>
          <w:szCs w:val="36"/>
          <w:lang w:bidi="ar"/>
        </w:rPr>
        <w:t>代谢性心血管疾病研究厅市共建</w:t>
      </w:r>
    </w:p>
    <w:p w14:paraId="15E88937">
      <w:pPr>
        <w:widowControl/>
        <w:wordWrap w:val="0"/>
        <w:jc w:val="center"/>
        <w:rPr>
          <w:sz w:val="20"/>
          <w:szCs w:val="22"/>
        </w:rPr>
      </w:pPr>
      <w:r>
        <w:rPr>
          <w:rFonts w:hint="eastAsia" w:ascii="方正小标宋简体" w:hAnsi="方正小标宋简体" w:eastAsia="方正小标宋简体" w:cs="方正小标宋简体"/>
          <w:kern w:val="0"/>
          <w:sz w:val="36"/>
          <w:szCs w:val="36"/>
          <w:lang w:bidi="ar"/>
        </w:rPr>
        <w:t>山西省重点实验室开放基金课题管理办法</w:t>
      </w:r>
    </w:p>
    <w:p w14:paraId="73F6D92A">
      <w:pPr>
        <w:pStyle w:val="3"/>
        <w:widowControl/>
        <w:spacing w:before="312" w:beforeAutospacing="0" w:afterAutospacing="0" w:line="420" w:lineRule="atLeast"/>
        <w:ind w:firstLine="56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根据</w:t>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HYPERLINK "http://kjt.shanxi.gov.cn/zcfg/sxskjcxzc/202109/P020210905614726696888.doc" \t "https://kjt.shanxi.gov.cn/dept_search/" \l "/_blank"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《山西省重点实验室建设与运行管理办法》</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sz w:val="28"/>
          <w:szCs w:val="28"/>
        </w:rPr>
        <w:t>，结合本实验室具体情况，制订</w:t>
      </w:r>
      <w:r>
        <w:rPr>
          <w:rFonts w:hint="eastAsia" w:ascii="方正仿宋_GB2312" w:hAnsi="方正仿宋_GB2312" w:eastAsia="方正仿宋_GB2312" w:cs="方正仿宋_GB2312"/>
          <w:sz w:val="28"/>
          <w:szCs w:val="28"/>
          <w:lang w:eastAsia="zh-CN"/>
        </w:rPr>
        <w:t>此管理办法</w:t>
      </w:r>
      <w:r>
        <w:rPr>
          <w:rFonts w:hint="eastAsia" w:ascii="方正仿宋_GB2312" w:hAnsi="方正仿宋_GB2312" w:eastAsia="方正仿宋_GB2312" w:cs="方正仿宋_GB2312"/>
          <w:sz w:val="28"/>
          <w:szCs w:val="28"/>
        </w:rPr>
        <w:t>。</w:t>
      </w:r>
    </w:p>
    <w:p w14:paraId="41D34BB8">
      <w:pPr>
        <w:pStyle w:val="3"/>
        <w:widowControl/>
        <w:spacing w:before="312" w:beforeAutospacing="0" w:afterAutospacing="0" w:line="420" w:lineRule="atLeast"/>
        <w:ind w:firstLine="562"/>
        <w:jc w:val="center"/>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第一章 总则</w:t>
      </w:r>
    </w:p>
    <w:p w14:paraId="1009DF7A">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第一条</w:t>
      </w:r>
      <w:r>
        <w:rPr>
          <w:rFonts w:hint="eastAsia" w:ascii="方正仿宋_GB2312" w:hAnsi="方正仿宋_GB2312" w:eastAsia="方正仿宋_GB2312" w:cs="方正仿宋_GB2312"/>
          <w:sz w:val="28"/>
          <w:szCs w:val="28"/>
        </w:rPr>
        <w:t> 代谢性心血管疾病研究厅市共建山西省重点</w:t>
      </w:r>
      <w:bookmarkStart w:id="0" w:name="_GoBack"/>
      <w:bookmarkEnd w:id="0"/>
      <w:r>
        <w:rPr>
          <w:rFonts w:hint="eastAsia" w:ascii="方正仿宋_GB2312" w:hAnsi="方正仿宋_GB2312" w:eastAsia="方正仿宋_GB2312" w:cs="方正仿宋_GB2312"/>
          <w:sz w:val="28"/>
          <w:szCs w:val="28"/>
        </w:rPr>
        <w:t>实验室是依托山西省汾阳医院、山西医科大学汾阳学院建立的开放性科研实验平台，旨在开展引领学术前沿的代谢性心血管疾病相关领域的基础理论基础应用研究。为加大开放力度，支持高水平、前沿性研究，促进学术合作与交流，凝聚优秀学术力量，实验室设立开放基金，秉着公平、公正、公开、择优的原则，资助国内代谢性心血管疾病相关领域的科研工作者围绕本实验室的主要研究方向开展学术研究工作。</w:t>
      </w:r>
    </w:p>
    <w:p w14:paraId="52BAE19B">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第二条 </w:t>
      </w:r>
      <w:r>
        <w:rPr>
          <w:rFonts w:hint="eastAsia" w:ascii="方正仿宋_GB2312" w:hAnsi="方正仿宋_GB2312" w:eastAsia="方正仿宋_GB2312" w:cs="方正仿宋_GB2312"/>
          <w:sz w:val="28"/>
          <w:szCs w:val="28"/>
        </w:rPr>
        <w:t>开放基金以多种形式对国内外开放，主要用于资助与本实验室研究方向有关的基础研究和应用基础研究。对意义重大、有原始创新思想、属于学科前沿和有应用前景的研究项目予以优先支持，以促进科技合作和学术与人才交流。</w:t>
      </w:r>
    </w:p>
    <w:p w14:paraId="7F71DF75">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第三条</w:t>
      </w:r>
      <w:r>
        <w:rPr>
          <w:rFonts w:hint="eastAsia" w:ascii="方正仿宋_GB2312" w:hAnsi="方正仿宋_GB2312" w:eastAsia="方正仿宋_GB2312" w:cs="方正仿宋_GB2312"/>
          <w:sz w:val="28"/>
          <w:szCs w:val="28"/>
        </w:rPr>
        <w:t> 开放基金资助形式包括：本实验室开放基金资助的科研项目、自带经费利用本实验室的仪器设备等科研条件的开展的研究项目、直接参加本实验室承担的科研项目。</w:t>
      </w:r>
    </w:p>
    <w:p w14:paraId="4744C67B">
      <w:pPr>
        <w:pStyle w:val="3"/>
        <w:widowControl/>
        <w:spacing w:beforeAutospacing="0" w:afterAutospacing="0" w:line="420" w:lineRule="atLeast"/>
        <w:ind w:firstLine="420"/>
        <w:jc w:val="center"/>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第二章 申请与受理</w:t>
      </w:r>
    </w:p>
    <w:p w14:paraId="641627B3">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第四条</w:t>
      </w:r>
      <w:r>
        <w:rPr>
          <w:rFonts w:hint="eastAsia" w:ascii="方正仿宋_GB2312" w:hAnsi="方正仿宋_GB2312" w:eastAsia="方正仿宋_GB2312" w:cs="方正仿宋_GB2312"/>
          <w:sz w:val="28"/>
          <w:szCs w:val="28"/>
        </w:rPr>
        <w:t> 凡具备博士学位、高级职称的国内外科研人员，均可在实验室发布的《开放课题申请指南》规定的范围内提出资助申请。申请者应具备实施课题研究的能力和必要的时间保证，并具有基本的研究条件。</w:t>
      </w:r>
    </w:p>
    <w:p w14:paraId="34CB7A37">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第五条</w:t>
      </w:r>
      <w:r>
        <w:rPr>
          <w:rFonts w:hint="eastAsia" w:ascii="方正仿宋_GB2312" w:hAnsi="方正仿宋_GB2312" w:eastAsia="方正仿宋_GB2312" w:cs="方正仿宋_GB2312"/>
          <w:sz w:val="28"/>
          <w:szCs w:val="28"/>
        </w:rPr>
        <w:t> 开放基金课题的申请者须根据当年实验室发布的申请通知及指南撰写申请书，并于规定时间将申请材料递交至实验室办公室。</w:t>
      </w:r>
    </w:p>
    <w:p w14:paraId="6AD84FB1">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第六条 </w:t>
      </w:r>
      <w:r>
        <w:rPr>
          <w:rFonts w:hint="eastAsia" w:ascii="方正仿宋_GB2312" w:hAnsi="方正仿宋_GB2312" w:eastAsia="方正仿宋_GB2312" w:cs="方正仿宋_GB2312"/>
          <w:sz w:val="28"/>
          <w:szCs w:val="28"/>
        </w:rPr>
        <w:t>开放基金课题执行期限一般为2年。一般项目每项资助金额为3-5万，重点项目每项资助金额为10万，具体经费根据课题的研究内容、研究时间及研究人员的情况而定。自带经费者可不受上述条件限制。</w:t>
      </w:r>
    </w:p>
    <w:p w14:paraId="11B90BFB">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第七条 </w:t>
      </w:r>
      <w:r>
        <w:rPr>
          <w:rFonts w:hint="eastAsia" w:ascii="方正仿宋_GB2312" w:hAnsi="方正仿宋_GB2312" w:eastAsia="方正仿宋_GB2312" w:cs="方正仿宋_GB2312"/>
          <w:sz w:val="28"/>
          <w:szCs w:val="28"/>
        </w:rPr>
        <w:t>每位申请人仅限申请一项开放课题，，项目结题验收后方可再次申请。</w:t>
      </w:r>
    </w:p>
    <w:p w14:paraId="57323B48">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第八条 </w:t>
      </w:r>
      <w:r>
        <w:rPr>
          <w:rFonts w:hint="eastAsia" w:ascii="方正仿宋_GB2312" w:hAnsi="方正仿宋_GB2312" w:eastAsia="方正仿宋_GB2312" w:cs="方正仿宋_GB2312"/>
          <w:sz w:val="28"/>
          <w:szCs w:val="28"/>
        </w:rPr>
        <w:t>实验室接受国内外自带科研经费和项目的研究人员来本实验室进行科研工作，其研究课题由实验室主任批准后列入实验室研究计划，可在规定时间到实验室工作，但需按规定交纳有关费用。</w:t>
      </w:r>
    </w:p>
    <w:p w14:paraId="03E4E646">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第九条</w:t>
      </w:r>
      <w:r>
        <w:rPr>
          <w:rFonts w:hint="eastAsia" w:ascii="方正仿宋_GB2312" w:hAnsi="方正仿宋_GB2312" w:eastAsia="方正仿宋_GB2312" w:cs="方正仿宋_GB2312"/>
          <w:sz w:val="28"/>
          <w:szCs w:val="28"/>
        </w:rPr>
        <w:t> 实验室接受国内外科研人员来本实验室参加己列入实验室研究计划的课题研究，科研人员提出申请，由实验室主任批准后即可前来工作。</w:t>
      </w:r>
    </w:p>
    <w:p w14:paraId="7FEDCED2">
      <w:pPr>
        <w:pStyle w:val="3"/>
        <w:widowControl/>
        <w:spacing w:beforeAutospacing="0" w:afterAutospacing="0" w:line="420" w:lineRule="atLeast"/>
        <w:ind w:firstLine="420"/>
        <w:jc w:val="center"/>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第三章 评审与立项</w:t>
      </w:r>
    </w:p>
    <w:p w14:paraId="4CCE5EE4">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第十条 </w:t>
      </w:r>
      <w:r>
        <w:rPr>
          <w:rFonts w:hint="eastAsia" w:ascii="方正仿宋_GB2312" w:hAnsi="方正仿宋_GB2312" w:eastAsia="方正仿宋_GB2312" w:cs="方正仿宋_GB2312"/>
          <w:sz w:val="28"/>
          <w:szCs w:val="28"/>
        </w:rPr>
        <w:t>开放基金课题的立项按初审、专家评审、实验室主任会议审批的程序进行。实验室各研究方向的负责人对所受理的申请书进行初审，通过后实验室组织专家评审，评审可采用通讯评审的方式进行。相近学科的课题申请尽可能选择同一组专家评审，交叉学科的课题申请选择所涉及不同学科的专家共同评审。实验室主任会议根据专家评审的资助建议确定资助名单。</w:t>
      </w:r>
    </w:p>
    <w:p w14:paraId="1ECE05DC">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第十一条 </w:t>
      </w:r>
      <w:r>
        <w:rPr>
          <w:rFonts w:hint="eastAsia" w:ascii="方正仿宋_GB2312" w:hAnsi="方正仿宋_GB2312" w:eastAsia="方正仿宋_GB2312" w:cs="方正仿宋_GB2312"/>
          <w:sz w:val="28"/>
          <w:szCs w:val="28"/>
        </w:rPr>
        <w:t>申请者有权提出评审中希望回避的专家名单，实验室组织专家评审时将尊重申请者的要求。</w:t>
      </w:r>
    </w:p>
    <w:p w14:paraId="096ABCC2">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第十二条 </w:t>
      </w:r>
      <w:r>
        <w:rPr>
          <w:rFonts w:hint="eastAsia" w:ascii="方正仿宋_GB2312" w:hAnsi="方正仿宋_GB2312" w:eastAsia="方正仿宋_GB2312" w:cs="方正仿宋_GB2312"/>
          <w:sz w:val="28"/>
          <w:szCs w:val="28"/>
        </w:rPr>
        <w:t>实验室行政办公室根据审批结果向申请者下达批准资助通知，对未获资助的申请者反馈不予资助的原因。</w:t>
      </w:r>
    </w:p>
    <w:p w14:paraId="3666CF0F">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第十三条</w:t>
      </w:r>
      <w:r>
        <w:rPr>
          <w:rFonts w:hint="eastAsia" w:ascii="方正仿宋_GB2312" w:hAnsi="方正仿宋_GB2312" w:eastAsia="方正仿宋_GB2312" w:cs="方正仿宋_GB2312"/>
          <w:sz w:val="28"/>
          <w:szCs w:val="28"/>
        </w:rPr>
        <w:t> 经批准立项的课题，由实验室主任与开放课题负责人签订课题任务书，作为经费使用和验收的依据。</w:t>
      </w:r>
    </w:p>
    <w:p w14:paraId="3CA208D2">
      <w:pPr>
        <w:pStyle w:val="3"/>
        <w:widowControl/>
        <w:spacing w:beforeAutospacing="0" w:afterAutospacing="0" w:line="420" w:lineRule="atLeast"/>
        <w:ind w:firstLine="420"/>
        <w:jc w:val="center"/>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第四章 项目实施与评估</w:t>
      </w:r>
    </w:p>
    <w:p w14:paraId="68F01D16">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w:t>
      </w:r>
      <w:r>
        <w:rPr>
          <w:rStyle w:val="6"/>
          <w:rFonts w:hint="eastAsia" w:ascii="方正仿宋_GB2312" w:hAnsi="方正仿宋_GB2312" w:eastAsia="方正仿宋_GB2312" w:cs="方正仿宋_GB2312"/>
          <w:sz w:val="28"/>
          <w:szCs w:val="28"/>
          <w:lang w:val="en-US" w:eastAsia="zh-CN"/>
        </w:rPr>
        <w:t>四</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开放基金课题执行过程中，每年年底应按要求提交工作进展报告和科研成果汇报。课题结束后，提交结题报告、原始记录、技术档案、资料、经费使用情况报表，由实验室负责组织验收和结题，并给出验收成绩。因客观原因不能在规定期限内完成研究计划的课题，一般允许延期一次，期限不超过一年，但须在课题原执行期结束前两个月提出申请，由实验室主任会议审批。批准延期的课题，每年仍须提交年度进展报告。</w:t>
      </w:r>
    </w:p>
    <w:p w14:paraId="3FE0F5DE">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w:t>
      </w:r>
      <w:r>
        <w:rPr>
          <w:rStyle w:val="6"/>
          <w:rFonts w:hint="eastAsia" w:ascii="方正仿宋_GB2312" w:hAnsi="方正仿宋_GB2312" w:eastAsia="方正仿宋_GB2312" w:cs="方正仿宋_GB2312"/>
          <w:sz w:val="28"/>
          <w:szCs w:val="28"/>
          <w:lang w:eastAsia="zh-CN"/>
        </w:rPr>
        <w:t>五</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对于课题实施中的包括研究目标、研究内容、计划执行期限、预算等重要变更以及中止课题研究等重要事项，课题负责人必须预先提出报告，报实验室审批。</w:t>
      </w:r>
    </w:p>
    <w:p w14:paraId="5B0085E6">
      <w:pPr>
        <w:pStyle w:val="3"/>
        <w:widowControl/>
        <w:spacing w:beforeAutospacing="0" w:afterAutospacing="0" w:line="420" w:lineRule="atLeast"/>
        <w:ind w:firstLine="562"/>
        <w:rPr>
          <w:rFonts w:hint="eastAsia"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w:t>
      </w:r>
      <w:r>
        <w:rPr>
          <w:rStyle w:val="6"/>
          <w:rFonts w:hint="eastAsia" w:ascii="方正仿宋_GB2312" w:hAnsi="方正仿宋_GB2312" w:eastAsia="方正仿宋_GB2312" w:cs="方正仿宋_GB2312"/>
          <w:sz w:val="28"/>
          <w:szCs w:val="28"/>
          <w:lang w:eastAsia="zh-CN"/>
        </w:rPr>
        <w:t>六</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课题负责人工作调动，可在原单位完成课题研究，经调出、调入单位双方签署意见报实验室备案；如调入单位具备条件，也可将课题转到调入单位继续研究，经调出、调入单位双方签署意见报实验室审批。课题负责人一般不得更换，遇有特殊情况离开研究岗位半年以上的，所在单位应安排合适负责人，并报实验室备案；离岗一年以上按中止项目办理。</w:t>
      </w:r>
    </w:p>
    <w:p w14:paraId="63EBC365">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w:t>
      </w:r>
      <w:r>
        <w:rPr>
          <w:rStyle w:val="6"/>
          <w:rFonts w:hint="eastAsia" w:ascii="方正仿宋_GB2312" w:hAnsi="方正仿宋_GB2312" w:eastAsia="方正仿宋_GB2312" w:cs="方正仿宋_GB2312"/>
          <w:sz w:val="28"/>
          <w:szCs w:val="28"/>
          <w:lang w:eastAsia="zh-CN"/>
        </w:rPr>
        <w:t>七</w:t>
      </w:r>
      <w:r>
        <w:rPr>
          <w:rStyle w:val="6"/>
          <w:rFonts w:hint="eastAsia" w:ascii="方正仿宋_GB2312" w:hAnsi="方正仿宋_GB2312" w:eastAsia="方正仿宋_GB2312" w:cs="方正仿宋_GB2312"/>
          <w:sz w:val="28"/>
          <w:szCs w:val="28"/>
        </w:rPr>
        <w:t>条</w:t>
      </w:r>
      <w:r>
        <w:rPr>
          <w:rFonts w:hint="eastAsia" w:ascii="宋体" w:hAnsi="宋体" w:eastAsia="宋体" w:cs="宋体"/>
          <w:sz w:val="28"/>
          <w:szCs w:val="28"/>
        </w:rPr>
        <w:t> </w:t>
      </w:r>
      <w:r>
        <w:rPr>
          <w:rFonts w:hint="eastAsia" w:ascii="方正仿宋_GB2312" w:hAnsi="方正仿宋_GB2312" w:eastAsia="方正仿宋_GB2312" w:cs="方正仿宋_GB2312"/>
          <w:sz w:val="28"/>
          <w:szCs w:val="28"/>
        </w:rPr>
        <w:t>对不能按计划开展研究工作的、未经批准擅自变更项目研究内容的的、违反学术诚信及经费管理制度等，实验室有权予以警告，直至取消该项研究课题。</w:t>
      </w:r>
    </w:p>
    <w:p w14:paraId="29986926">
      <w:pPr>
        <w:pStyle w:val="3"/>
        <w:widowControl/>
        <w:spacing w:beforeAutospacing="0" w:afterAutospacing="0" w:line="420" w:lineRule="atLeast"/>
        <w:ind w:firstLine="420"/>
        <w:jc w:val="center"/>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第五章 经费管理</w:t>
      </w:r>
    </w:p>
    <w:p w14:paraId="03FAB5F1">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第十</w:t>
      </w:r>
      <w:r>
        <w:rPr>
          <w:rStyle w:val="6"/>
          <w:rFonts w:hint="eastAsia" w:ascii="方正仿宋_GB2312" w:hAnsi="方正仿宋_GB2312" w:eastAsia="方正仿宋_GB2312" w:cs="方正仿宋_GB2312"/>
          <w:sz w:val="28"/>
          <w:szCs w:val="28"/>
          <w:lang w:eastAsia="zh-CN"/>
        </w:rPr>
        <w:t>八</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开放课题基金是实验室投入的专项经费，必须专款专用。在具体使用过程中必须按计划执行，按规定程序审批。</w:t>
      </w:r>
    </w:p>
    <w:p w14:paraId="20751FB4">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w:t>
      </w:r>
      <w:r>
        <w:rPr>
          <w:rStyle w:val="6"/>
          <w:rFonts w:hint="eastAsia" w:ascii="方正仿宋_GB2312" w:hAnsi="方正仿宋_GB2312" w:eastAsia="方正仿宋_GB2312" w:cs="方正仿宋_GB2312"/>
          <w:sz w:val="28"/>
          <w:szCs w:val="28"/>
          <w:lang w:eastAsia="zh-CN"/>
        </w:rPr>
        <w:t>十九</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开放课题基金由实验室主任会议根据学术委员会评审意见核准下拨，由山西省汾阳医院财务科按有关规定管理。开放课题资助经费按照课题建账，专款专用。开放课题经费不转拨申请者所在单位，限在山西省汾阳医院院内进行财务结算，院外单位可委托课题组本实验室固定人员代为报账，经实验室主任统一审批后办理财务结算手续。</w:t>
      </w:r>
    </w:p>
    <w:p w14:paraId="1B7D0E8A">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第二十条</w:t>
      </w:r>
      <w:r>
        <w:rPr>
          <w:rFonts w:hint="eastAsia" w:ascii="方正仿宋_GB2312" w:hAnsi="方正仿宋_GB2312" w:eastAsia="方正仿宋_GB2312" w:cs="方正仿宋_GB2312"/>
          <w:sz w:val="28"/>
          <w:szCs w:val="28"/>
        </w:rPr>
        <w:t> 开放基金课题的开支包括以下几个方面：</w:t>
      </w:r>
    </w:p>
    <w:p w14:paraId="40821CA5">
      <w:pPr>
        <w:pStyle w:val="3"/>
        <w:widowControl/>
        <w:numPr>
          <w:ilvl w:val="0"/>
          <w:numId w:val="1"/>
        </w:numPr>
        <w:spacing w:beforeAutospacing="0" w:afterAutospacing="0" w:line="420" w:lineRule="atLeast"/>
        <w:ind w:firstLine="56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资助课题直接有关的科研费用（包括试剂、药品费、材料及加工费、分析测试费、专用小型仪器设备购置费和协作费）；</w:t>
      </w:r>
    </w:p>
    <w:p w14:paraId="4425390A">
      <w:pPr>
        <w:pStyle w:val="3"/>
        <w:widowControl/>
        <w:numPr>
          <w:ilvl w:val="0"/>
          <w:numId w:val="1"/>
        </w:numPr>
        <w:spacing w:beforeAutospacing="0" w:afterAutospacing="0" w:line="420" w:lineRule="atLeast"/>
        <w:ind w:firstLine="56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学术活动费，包括出席与该课题直接有关的国内学术会议费、调研、评审及鉴定费用。</w:t>
      </w:r>
    </w:p>
    <w:p w14:paraId="438AA5F8">
      <w:pPr>
        <w:pStyle w:val="3"/>
        <w:widowControl/>
        <w:numPr>
          <w:ilvl w:val="0"/>
          <w:numId w:val="1"/>
        </w:numPr>
        <w:spacing w:beforeAutospacing="0" w:afterAutospacing="0" w:line="420" w:lineRule="atLeast"/>
        <w:ind w:firstLine="56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客座人员在山西省汾阳医院工作期间的住宿费、交通费和生活补贴（参照山西省汾阳医院的财务有关规定执行）。</w:t>
      </w:r>
    </w:p>
    <w:p w14:paraId="15CB20BD">
      <w:pPr>
        <w:pStyle w:val="3"/>
        <w:widowControl/>
        <w:numPr>
          <w:ilvl w:val="0"/>
          <w:numId w:val="1"/>
        </w:numPr>
        <w:spacing w:beforeAutospacing="0" w:afterAutospacing="0" w:line="420" w:lineRule="atLeast"/>
        <w:ind w:firstLine="56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公共性开支，出版/文献/信息传播/知识产权事务费、专家咨询费、劳务费等。</w:t>
      </w:r>
    </w:p>
    <w:p w14:paraId="2E1F112D">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w:t>
      </w:r>
      <w:r>
        <w:rPr>
          <w:rStyle w:val="6"/>
          <w:rFonts w:hint="eastAsia" w:ascii="方正仿宋_GB2312" w:hAnsi="方正仿宋_GB2312" w:eastAsia="方正仿宋_GB2312" w:cs="方正仿宋_GB2312"/>
          <w:sz w:val="28"/>
          <w:szCs w:val="28"/>
          <w:lang w:eastAsia="zh-CN"/>
        </w:rPr>
        <w:t>一</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课题经费一次到位(重点实验室经费下建立项目经费)。课题每进行一年，客座人员应向实验室提交课题进展报告。</w:t>
      </w:r>
    </w:p>
    <w:p w14:paraId="2B0718B4">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w:t>
      </w:r>
      <w:r>
        <w:rPr>
          <w:rStyle w:val="6"/>
          <w:rFonts w:hint="eastAsia" w:ascii="方正仿宋_GB2312" w:hAnsi="方正仿宋_GB2312" w:eastAsia="方正仿宋_GB2312" w:cs="方正仿宋_GB2312"/>
          <w:sz w:val="28"/>
          <w:szCs w:val="28"/>
          <w:lang w:eastAsia="zh-CN"/>
        </w:rPr>
        <w:t>二</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实验室开放课题基金按课题分别进行核算，结余可跨年度使用，课题完成后要及时结算，结余经费归实验室留用。</w:t>
      </w:r>
    </w:p>
    <w:p w14:paraId="70E28234">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w:t>
      </w:r>
      <w:r>
        <w:rPr>
          <w:rStyle w:val="6"/>
          <w:rFonts w:hint="eastAsia" w:ascii="方正仿宋_GB2312" w:hAnsi="方正仿宋_GB2312" w:eastAsia="方正仿宋_GB2312" w:cs="方正仿宋_GB2312"/>
          <w:sz w:val="28"/>
          <w:szCs w:val="28"/>
          <w:lang w:eastAsia="zh-CN"/>
        </w:rPr>
        <w:t>三</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自带科研经费和项目的研究人员来实验室进行研究工作，免费或优惠使用本实验室的仪器和设备，具体规定详见实验室仪器设备管理规定。科研经费的开支范围参照开放基金开支范围确定，经费的使用办法参照山西省汾阳医院科研经费管理办法执行。</w:t>
      </w:r>
    </w:p>
    <w:p w14:paraId="2046C193">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w:t>
      </w:r>
      <w:r>
        <w:rPr>
          <w:rStyle w:val="6"/>
          <w:rFonts w:hint="eastAsia" w:ascii="方正仿宋_GB2312" w:hAnsi="方正仿宋_GB2312" w:eastAsia="方正仿宋_GB2312" w:cs="方正仿宋_GB2312"/>
          <w:sz w:val="28"/>
          <w:szCs w:val="28"/>
          <w:lang w:eastAsia="zh-CN"/>
        </w:rPr>
        <w:t>四</w:t>
      </w:r>
      <w:r>
        <w:rPr>
          <w:rStyle w:val="6"/>
          <w:rFonts w:hint="eastAsia" w:ascii="方正仿宋_GB2312" w:hAnsi="方正仿宋_GB2312" w:eastAsia="方正仿宋_GB2312" w:cs="方正仿宋_GB2312"/>
          <w:sz w:val="28"/>
          <w:szCs w:val="28"/>
        </w:rPr>
        <w:t>条 </w:t>
      </w:r>
      <w:r>
        <w:rPr>
          <w:rFonts w:hint="eastAsia" w:ascii="方正仿宋_GB2312" w:hAnsi="方正仿宋_GB2312" w:eastAsia="方正仿宋_GB2312" w:cs="方正仿宋_GB2312"/>
          <w:sz w:val="28"/>
          <w:szCs w:val="28"/>
        </w:rPr>
        <w:t>实验室主任有权随时检查课题进展及执行情况，发现无正当理由而未能按原计划或方案完成时，有权暂时中止、调整或取消基金资助。</w:t>
      </w:r>
    </w:p>
    <w:p w14:paraId="57347062">
      <w:pPr>
        <w:pStyle w:val="3"/>
        <w:widowControl/>
        <w:spacing w:beforeAutospacing="0" w:afterAutospacing="0" w:line="420" w:lineRule="atLeast"/>
        <w:ind w:firstLine="420"/>
        <w:jc w:val="center"/>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第六章 成果管理</w:t>
      </w:r>
    </w:p>
    <w:p w14:paraId="711A71D4">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w:t>
      </w:r>
      <w:r>
        <w:rPr>
          <w:rStyle w:val="6"/>
          <w:rFonts w:hint="eastAsia" w:ascii="方正仿宋_GB2312" w:hAnsi="方正仿宋_GB2312" w:eastAsia="方正仿宋_GB2312" w:cs="方正仿宋_GB2312"/>
          <w:sz w:val="28"/>
          <w:szCs w:val="28"/>
          <w:lang w:eastAsia="zh-CN"/>
        </w:rPr>
        <w:t>五</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在开放基金资助下取得的成果（包括论文、专注、收集到的资料、研究报告等）归本实验室和研究人员所在单位共同所有。成果鉴定和报奖由本实验室与研究人员所在单位共同办理。</w:t>
      </w:r>
    </w:p>
    <w:p w14:paraId="0C481448">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第二十</w:t>
      </w:r>
      <w:r>
        <w:rPr>
          <w:rFonts w:hint="eastAsia" w:ascii="方正仿宋_GB2312" w:hAnsi="方正仿宋_GB2312" w:eastAsia="方正仿宋_GB2312" w:cs="方正仿宋_GB2312"/>
          <w:b/>
          <w:bCs/>
          <w:sz w:val="28"/>
          <w:szCs w:val="28"/>
          <w:lang w:eastAsia="zh-CN"/>
        </w:rPr>
        <w:t>六</w:t>
      </w:r>
      <w:r>
        <w:rPr>
          <w:rFonts w:hint="eastAsia" w:ascii="方正仿宋_GB2312" w:hAnsi="方正仿宋_GB2312" w:eastAsia="方正仿宋_GB2312" w:cs="方正仿宋_GB2312"/>
          <w:b/>
          <w:bCs/>
          <w:sz w:val="28"/>
          <w:szCs w:val="28"/>
        </w:rPr>
        <w:t>条</w:t>
      </w:r>
      <w:r>
        <w:rPr>
          <w:rFonts w:hint="eastAsia" w:ascii="方正仿宋_GB2312" w:hAnsi="方正仿宋_GB2312" w:eastAsia="方正仿宋_GB2312" w:cs="方正仿宋_GB2312"/>
          <w:sz w:val="28"/>
          <w:szCs w:val="28"/>
        </w:rPr>
        <w:t xml:space="preserve"> 开放基金资助的相关论文、专著等成果，均须注明代谢性心血管疾病研究厅市共建山西省重点实验室开放基金资助（No.课题编号）或Incubation Base of Shanxi Province Key Laboratory for MetCVD（No.课题编号）。责任作者单位署名为山西省汾阳医院重点实验室（Key Laboratory of Fenyang Hospital of Shanxi Province）。</w:t>
      </w:r>
    </w:p>
    <w:p w14:paraId="523920E4">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w:t>
      </w:r>
      <w:r>
        <w:rPr>
          <w:rStyle w:val="6"/>
          <w:rFonts w:hint="eastAsia" w:ascii="方正仿宋_GB2312" w:hAnsi="方正仿宋_GB2312" w:eastAsia="方正仿宋_GB2312" w:cs="方正仿宋_GB2312"/>
          <w:sz w:val="28"/>
          <w:szCs w:val="28"/>
          <w:lang w:eastAsia="zh-CN"/>
        </w:rPr>
        <w:t>七</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客座人员自带经费来本实验室完成的研究课题，其研究成果归客座人员所在单位所有，但在成果鉴定、报奖以及发表论文时应注明“本项研究工作在代谢性心血管疾病研究厅市共建山西省重点实验室完成”。</w:t>
      </w:r>
    </w:p>
    <w:p w14:paraId="3BEC5D03">
      <w:pPr>
        <w:pStyle w:val="3"/>
        <w:widowControl/>
        <w:spacing w:beforeAutospacing="0" w:afterAutospacing="0" w:line="420" w:lineRule="atLeast"/>
        <w:ind w:firstLine="420"/>
        <w:jc w:val="center"/>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第七章 附则</w:t>
      </w:r>
    </w:p>
    <w:p w14:paraId="01D8C37E">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第二十</w:t>
      </w:r>
      <w:r>
        <w:rPr>
          <w:rStyle w:val="6"/>
          <w:rFonts w:hint="eastAsia" w:ascii="方正仿宋_GB2312" w:hAnsi="方正仿宋_GB2312" w:eastAsia="方正仿宋_GB2312" w:cs="方正仿宋_GB2312"/>
          <w:sz w:val="28"/>
          <w:szCs w:val="28"/>
          <w:lang w:eastAsia="zh-CN"/>
        </w:rPr>
        <w:t>八</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本办法与医院有关规定不一致时，按医院的有关规定执行。</w:t>
      </w:r>
    </w:p>
    <w:p w14:paraId="02A2E361">
      <w:pPr>
        <w:pStyle w:val="3"/>
        <w:widowControl/>
        <w:spacing w:beforeAutospacing="0" w:afterAutospacing="0" w:line="420" w:lineRule="atLeast"/>
        <w:ind w:firstLine="562"/>
        <w:rPr>
          <w:rFonts w:ascii="方正仿宋_GB2312" w:hAnsi="方正仿宋_GB2312" w:eastAsia="方正仿宋_GB2312" w:cs="方正仿宋_GB2312"/>
          <w:sz w:val="28"/>
          <w:szCs w:val="28"/>
        </w:rPr>
      </w:pPr>
      <w:r>
        <w:rPr>
          <w:rStyle w:val="6"/>
          <w:rFonts w:hint="eastAsia" w:ascii="方正仿宋_GB2312" w:hAnsi="方正仿宋_GB2312" w:eastAsia="方正仿宋_GB2312" w:cs="方正仿宋_GB2312"/>
          <w:sz w:val="28"/>
          <w:szCs w:val="28"/>
        </w:rPr>
        <w:t>第</w:t>
      </w:r>
      <w:r>
        <w:rPr>
          <w:rStyle w:val="6"/>
          <w:rFonts w:hint="eastAsia" w:ascii="方正仿宋_GB2312" w:hAnsi="方正仿宋_GB2312" w:eastAsia="方正仿宋_GB2312" w:cs="方正仿宋_GB2312"/>
          <w:sz w:val="28"/>
          <w:szCs w:val="28"/>
          <w:lang w:eastAsia="zh-CN"/>
        </w:rPr>
        <w:t>二十九</w:t>
      </w:r>
      <w:r>
        <w:rPr>
          <w:rStyle w:val="6"/>
          <w:rFonts w:hint="eastAsia" w:ascii="方正仿宋_GB2312" w:hAnsi="方正仿宋_GB2312" w:eastAsia="方正仿宋_GB2312" w:cs="方正仿宋_GB2312"/>
          <w:sz w:val="28"/>
          <w:szCs w:val="28"/>
        </w:rPr>
        <w:t>条</w:t>
      </w:r>
      <w:r>
        <w:rPr>
          <w:rFonts w:hint="eastAsia" w:ascii="方正仿宋_GB2312" w:hAnsi="方正仿宋_GB2312" w:eastAsia="方正仿宋_GB2312" w:cs="方正仿宋_GB2312"/>
          <w:sz w:val="28"/>
          <w:szCs w:val="28"/>
        </w:rPr>
        <w:t> 本办法自公布之日起执行，由代谢性心血管疾病研究厅市共建山西省重点实验室负责解释。</w:t>
      </w:r>
    </w:p>
    <w:p w14:paraId="225C3651">
      <w:pPr>
        <w:rPr>
          <w:rFonts w:ascii="仿宋" w:hAnsi="仿宋" w:eastAsia="仿宋" w:cs="仿宋"/>
          <w:kern w:val="0"/>
          <w:sz w:val="31"/>
          <w:szCs w:val="31"/>
          <w:lang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hakuyoxingshu7000"/>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00000" w:usb2="00000000" w:usb3="00000000" w:csb0="00040000" w:csb1="00000000"/>
    <w:embedRegular r:id="rId1" w:fontKey="{E5D7C60E-AC96-441F-8E28-FA5FFC3B9129}"/>
  </w:font>
  <w:font w:name="方正仿宋_GB2312">
    <w:panose1 w:val="02000000000000000000"/>
    <w:charset w:val="86"/>
    <w:family w:val="auto"/>
    <w:pitch w:val="default"/>
    <w:sig w:usb0="A00002BF" w:usb1="184F6CFA" w:usb2="00000012" w:usb3="00000000" w:csb0="00040001" w:csb1="00000000"/>
    <w:embedRegular r:id="rId2" w:fontKey="{7B1F4041-323C-4F53-8AE4-37B425372492}"/>
  </w:font>
  <w:font w:name="仿宋">
    <w:panose1 w:val="02010609060101010101"/>
    <w:charset w:val="86"/>
    <w:family w:val="modern"/>
    <w:pitch w:val="default"/>
    <w:sig w:usb0="800002BF" w:usb1="38CF7CFA" w:usb2="00000016" w:usb3="00000000" w:csb0="00040001" w:csb1="00000000"/>
    <w:embedRegular r:id="rId3" w:fontKey="{58AADA4C-28BB-435D-BDD7-A45153D827E9}"/>
  </w:font>
  <w:font w:name="hakuyoxingshu7000">
    <w:panose1 w:val="02000600000000000000"/>
    <w:charset w:val="86"/>
    <w:family w:val="auto"/>
    <w:pitch w:val="default"/>
    <w:sig w:usb0="FFFFFFFF" w:usb1="E9FFFFFF" w:usb2="0000003F" w:usb3="00000000" w:csb0="603F00FF" w:csb1="FFFF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6270C"/>
    <w:multiLevelType w:val="singleLevel"/>
    <w:tmpl w:val="0A46270C"/>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34A"/>
    <w:rsid w:val="000A1CFD"/>
    <w:rsid w:val="00190D90"/>
    <w:rsid w:val="005E14BD"/>
    <w:rsid w:val="007A434A"/>
    <w:rsid w:val="007B285F"/>
    <w:rsid w:val="00893AF0"/>
    <w:rsid w:val="00EF78AF"/>
    <w:rsid w:val="01D92A35"/>
    <w:rsid w:val="01EA24BE"/>
    <w:rsid w:val="02C60B85"/>
    <w:rsid w:val="039B3DC0"/>
    <w:rsid w:val="05702B38"/>
    <w:rsid w:val="09172661"/>
    <w:rsid w:val="147D6BCA"/>
    <w:rsid w:val="17027AF7"/>
    <w:rsid w:val="1834078D"/>
    <w:rsid w:val="27D65FF3"/>
    <w:rsid w:val="2F8F0BB4"/>
    <w:rsid w:val="323F1C36"/>
    <w:rsid w:val="33CE4708"/>
    <w:rsid w:val="3749159E"/>
    <w:rsid w:val="40E67721"/>
    <w:rsid w:val="43056584"/>
    <w:rsid w:val="43375BEC"/>
    <w:rsid w:val="44BA514C"/>
    <w:rsid w:val="482B0C10"/>
    <w:rsid w:val="4ED443EF"/>
    <w:rsid w:val="531771E2"/>
    <w:rsid w:val="54F16968"/>
    <w:rsid w:val="572528F9"/>
    <w:rsid w:val="58226E39"/>
    <w:rsid w:val="5AB00D41"/>
    <w:rsid w:val="5BEF797A"/>
    <w:rsid w:val="5FA8056B"/>
    <w:rsid w:val="69E77EE2"/>
    <w:rsid w:val="7293100B"/>
    <w:rsid w:val="769144C5"/>
    <w:rsid w:val="79732C43"/>
    <w:rsid w:val="7C53250F"/>
    <w:rsid w:val="7FD52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Balloon Text"/>
    <w:basedOn w:val="1"/>
    <w:link w:val="8"/>
    <w:qFormat/>
    <w:uiPriority w:val="0"/>
    <w:rPr>
      <w:sz w:val="18"/>
      <w:szCs w:val="18"/>
    </w:rPr>
  </w:style>
  <w:style w:type="paragraph" w:styleId="3">
    <w:name w:val="Normal (Web)"/>
    <w:basedOn w:val="1"/>
    <w:qFormat/>
    <w:uiPriority w:val="0"/>
    <w:pPr>
      <w:spacing w:beforeAutospacing="1" w:afterAutospacing="1"/>
      <w:jc w:val="left"/>
    </w:pPr>
    <w:rPr>
      <w:rFonts w:cs="Times New Roman"/>
      <w:kern w:val="0"/>
      <w:sz w:val="24"/>
    </w:rPr>
  </w:style>
  <w:style w:type="character" w:styleId="6">
    <w:name w:val="Strong"/>
    <w:basedOn w:val="5"/>
    <w:qFormat/>
    <w:uiPriority w:val="0"/>
    <w:rPr>
      <w:b/>
    </w:rPr>
  </w:style>
  <w:style w:type="character" w:styleId="7">
    <w:name w:val="Hyperlink"/>
    <w:basedOn w:val="5"/>
    <w:qFormat/>
    <w:uiPriority w:val="0"/>
    <w:rPr>
      <w:color w:val="0000FF"/>
      <w:u w:val="single"/>
    </w:rPr>
  </w:style>
  <w:style w:type="character" w:customStyle="1" w:styleId="8">
    <w:name w:val="批注框文本 Char"/>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2792</Words>
  <Characters>2880</Characters>
  <Lines>24</Lines>
  <Paragraphs>6</Paragraphs>
  <TotalTime>1196</TotalTime>
  <ScaleCrop>false</ScaleCrop>
  <LinksUpToDate>false</LinksUpToDate>
  <CharactersWithSpaces>2931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2025-06-10T01:24:00Z</dcterms:created>
  <dc:creator>Administrator</dc:creator>
  <cp:lastModifiedBy>赵新娜</cp:lastModifiedBy>
  <dcterms:modified xsi:type="dcterms:W3CDTF">2025-06-26T07:54:02Z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eyJoZGlkIjoiMmJhYTA2OGU1ODVhODU4NDQwZjA4YzViNWFiMjdmOTMiLCJ1c2VySWQiOiI0NDMyNzU5NTIifQ==</vt:lpwstr>
  </property>
  <property fmtid="{D5CDD505-2E9C-101B-9397-08002B2CF9AE}" pid="4" name="ICV">
    <vt:lpwstr>02921FB41E324DA1B2AA4425809A3557_12</vt:lpwstr>
  </property>
</Properties>
</file>